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550"/>
        <w:gridCol w:w="6810"/>
        <w:tblGridChange w:id="0">
          <w:tblGrid>
            <w:gridCol w:w="2550"/>
            <w:gridCol w:w="68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Mini-unit 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Topic: Focus 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# of lessons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Texts: Genres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Close Reading Strategies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Responding to Rdg: Writing and Talking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Strategies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Vocabulary of argument: claim, evidence, warrant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Use of sources - Harris moves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Written product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Feedback &amp; revision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Reflection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864" w:top="864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mini-unit menu template vertical.docx</dc:title>
</cp:coreProperties>
</file>